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538F" w:rsidRPr="00AD7011" w:rsidRDefault="00DB24ED">
      <w:pPr>
        <w:pStyle w:val="Normal1"/>
        <w:spacing w:after="60" w:line="240" w:lineRule="auto"/>
        <w:jc w:val="both"/>
        <w:rPr>
          <w:rFonts w:ascii="Arial" w:hAnsi="Arial" w:cs="Arial"/>
        </w:rPr>
      </w:pPr>
      <w:r w:rsidRPr="00AD7011">
        <w:rPr>
          <w:rFonts w:ascii="Arial" w:eastAsia="Helvetica Neue" w:hAnsi="Arial" w:cs="Arial"/>
          <w:b/>
          <w:sz w:val="24"/>
          <w:szCs w:val="24"/>
        </w:rPr>
        <w:t>Disability Discrimination</w:t>
      </w:r>
    </w:p>
    <w:p w:rsidR="00B2538F" w:rsidRPr="00AD7011" w:rsidRDefault="00B2538F">
      <w:pPr>
        <w:pStyle w:val="Normal1"/>
        <w:spacing w:after="60" w:line="240" w:lineRule="auto"/>
        <w:jc w:val="both"/>
        <w:rPr>
          <w:rFonts w:ascii="Arial" w:hAnsi="Arial" w:cs="Arial"/>
        </w:rPr>
      </w:pPr>
    </w:p>
    <w:p w:rsidR="00B2538F" w:rsidRPr="00AD7011" w:rsidRDefault="00B2538F">
      <w:pPr>
        <w:pStyle w:val="Normal1"/>
        <w:spacing w:after="60" w:line="240" w:lineRule="auto"/>
        <w:jc w:val="both"/>
        <w:rPr>
          <w:rFonts w:ascii="Arial" w:hAnsi="Arial" w:cs="Arial"/>
        </w:rPr>
      </w:pPr>
    </w:p>
    <w:p w:rsidR="00B2538F" w:rsidRPr="00AD7011" w:rsidRDefault="00DB24ED">
      <w:pPr>
        <w:pStyle w:val="Normal1"/>
        <w:jc w:val="both"/>
        <w:rPr>
          <w:rFonts w:ascii="Arial" w:hAnsi="Arial" w:cs="Arial"/>
        </w:rPr>
      </w:pPr>
      <w:r w:rsidRPr="00AD7011">
        <w:rPr>
          <w:rFonts w:ascii="Arial" w:eastAsia="Helvetica Neue" w:hAnsi="Arial" w:cs="Arial"/>
          <w:sz w:val="24"/>
          <w:szCs w:val="24"/>
        </w:rPr>
        <w:t xml:space="preserve">Fire and Air is committed to providing ongoing support to candidates with specific requirements and aspires to eliminate discrimination. </w:t>
      </w:r>
    </w:p>
    <w:p w:rsidR="00B2538F" w:rsidRPr="00AD7011" w:rsidRDefault="00DB24ED">
      <w:pPr>
        <w:pStyle w:val="Normal1"/>
        <w:jc w:val="both"/>
        <w:rPr>
          <w:rFonts w:ascii="Arial" w:hAnsi="Arial" w:cs="Arial"/>
        </w:rPr>
      </w:pPr>
      <w:r w:rsidRPr="00AD7011">
        <w:rPr>
          <w:rFonts w:ascii="Arial" w:eastAsia="Helvetica Neue" w:hAnsi="Arial" w:cs="Arial"/>
          <w:sz w:val="24"/>
          <w:szCs w:val="24"/>
        </w:rPr>
        <w:t xml:space="preserve">On this basis, we ensure accessible services and make appropriate adjustments, where feasible, to facilitate candidates in completing the course/programme as independently as possible with the aim to assist candidates in managing their individual situation and create an accessible learning and assessment environment for all. </w:t>
      </w:r>
    </w:p>
    <w:p w:rsidR="00B2538F" w:rsidRPr="00AD7011" w:rsidRDefault="00DB24ED">
      <w:pPr>
        <w:pStyle w:val="Normal1"/>
        <w:jc w:val="both"/>
        <w:rPr>
          <w:rFonts w:ascii="Arial" w:hAnsi="Arial" w:cs="Arial"/>
        </w:rPr>
      </w:pPr>
      <w:r w:rsidRPr="00AD7011">
        <w:rPr>
          <w:rFonts w:ascii="Arial" w:eastAsia="Helvetica Neue" w:hAnsi="Arial" w:cs="Arial"/>
          <w:sz w:val="24"/>
          <w:szCs w:val="24"/>
        </w:rPr>
        <w:t>In order for this to be achieved, we aim to determine candidates’ particular requirements and requests for the provision of access arrangements at an early stage. In making sure our access to fair assessment is implemented effectively and all candidates are treated fairly, we aim to:</w:t>
      </w:r>
    </w:p>
    <w:p w:rsidR="00B2538F" w:rsidRPr="00AD7011" w:rsidRDefault="00B2538F">
      <w:pPr>
        <w:pStyle w:val="Normal1"/>
        <w:jc w:val="both"/>
        <w:rPr>
          <w:rFonts w:ascii="Arial" w:hAnsi="Arial" w:cs="Arial"/>
        </w:rPr>
      </w:pPr>
    </w:p>
    <w:p w:rsidR="00B2538F" w:rsidRPr="00AD7011" w:rsidRDefault="00DB24ED">
      <w:pPr>
        <w:pStyle w:val="Normal1"/>
        <w:numPr>
          <w:ilvl w:val="0"/>
          <w:numId w:val="1"/>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ensure the access to fair assessment policy is understood and complied with by any personnel involved in assessment and also by candidates </w:t>
      </w:r>
    </w:p>
    <w:p w:rsidR="00B2538F" w:rsidRPr="00AD7011" w:rsidRDefault="00DB24ED">
      <w:pPr>
        <w:pStyle w:val="Normal1"/>
        <w:numPr>
          <w:ilvl w:val="0"/>
          <w:numId w:val="1"/>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promote equality in relation to the provision of the learning programme and assessment of the qualification </w:t>
      </w:r>
    </w:p>
    <w:p w:rsidR="00B2538F" w:rsidRPr="00AD7011" w:rsidRDefault="00DB24ED">
      <w:pPr>
        <w:pStyle w:val="Normal1"/>
        <w:numPr>
          <w:ilvl w:val="0"/>
          <w:numId w:val="1"/>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adhere to related procedures and regulations regarding reasonable adjustments to assessment and special consideration </w:t>
      </w:r>
    </w:p>
    <w:p w:rsidR="00B2538F" w:rsidRPr="00AD7011" w:rsidRDefault="00DB24ED">
      <w:pPr>
        <w:pStyle w:val="Normal1"/>
        <w:numPr>
          <w:ilvl w:val="0"/>
          <w:numId w:val="2"/>
        </w:numPr>
        <w:spacing w:after="0" w:line="240" w:lineRule="auto"/>
        <w:ind w:hanging="397"/>
        <w:jc w:val="both"/>
        <w:rPr>
          <w:rFonts w:ascii="Arial" w:hAnsi="Arial" w:cs="Arial"/>
          <w:sz w:val="24"/>
          <w:szCs w:val="24"/>
        </w:rPr>
      </w:pPr>
      <w:r w:rsidRPr="00AD7011">
        <w:rPr>
          <w:rFonts w:ascii="Arial" w:eastAsia="Helvetica Neue" w:hAnsi="Arial" w:cs="Arial"/>
          <w:sz w:val="24"/>
          <w:szCs w:val="24"/>
        </w:rPr>
        <w:t>ensure buildings and assessment sites used for delivery and assessment are accessible to all candidates, as far as is practicable</w:t>
      </w:r>
    </w:p>
    <w:p w:rsidR="00B2538F" w:rsidRPr="00AD7011" w:rsidRDefault="00DB24ED">
      <w:pPr>
        <w:pStyle w:val="Normal1"/>
        <w:numPr>
          <w:ilvl w:val="0"/>
          <w:numId w:val="2"/>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request permission for the implementation of specific adjustments from the awarding body where required </w:t>
      </w:r>
    </w:p>
    <w:p w:rsidR="00B2538F" w:rsidRPr="00AD7011" w:rsidRDefault="00DB24ED">
      <w:pPr>
        <w:pStyle w:val="Normal1"/>
        <w:numPr>
          <w:ilvl w:val="0"/>
          <w:numId w:val="2"/>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ensure, where reasonably practicable, appropriate equipment/personnel is available for selected adjustments to delivery and/or assessment. The Trust will not be financially liable for provision of this. </w:t>
      </w:r>
    </w:p>
    <w:p w:rsidR="00B2538F" w:rsidRPr="00AD7011" w:rsidRDefault="00DB24ED">
      <w:pPr>
        <w:pStyle w:val="Normal1"/>
        <w:numPr>
          <w:ilvl w:val="0"/>
          <w:numId w:val="2"/>
        </w:numPr>
        <w:spacing w:after="0" w:line="240" w:lineRule="auto"/>
        <w:ind w:hanging="397"/>
        <w:jc w:val="both"/>
        <w:rPr>
          <w:rFonts w:ascii="Arial" w:hAnsi="Arial" w:cs="Arial"/>
          <w:sz w:val="24"/>
          <w:szCs w:val="24"/>
        </w:rPr>
      </w:pPr>
      <w:r w:rsidRPr="00AD7011">
        <w:rPr>
          <w:rFonts w:ascii="Arial" w:eastAsia="Helvetica Neue" w:hAnsi="Arial" w:cs="Arial"/>
          <w:sz w:val="24"/>
          <w:szCs w:val="24"/>
        </w:rPr>
        <w:t xml:space="preserve">use assistive equipment and personnel without disadvantaging others who are not affected by </w:t>
      </w:r>
      <w:proofErr w:type="gramStart"/>
      <w:r w:rsidRPr="00AD7011">
        <w:rPr>
          <w:rFonts w:ascii="Arial" w:eastAsia="Helvetica Neue" w:hAnsi="Arial" w:cs="Arial"/>
          <w:sz w:val="24"/>
          <w:szCs w:val="24"/>
        </w:rPr>
        <w:t>particular requirements</w:t>
      </w:r>
      <w:proofErr w:type="gramEnd"/>
      <w:r w:rsidRPr="00AD7011">
        <w:rPr>
          <w:rFonts w:ascii="Arial" w:eastAsia="Helvetica Neue" w:hAnsi="Arial" w:cs="Arial"/>
          <w:sz w:val="24"/>
          <w:szCs w:val="24"/>
        </w:rPr>
        <w:t xml:space="preserve">. </w:t>
      </w:r>
    </w:p>
    <w:p w:rsidR="00B2538F" w:rsidRPr="00AD7011" w:rsidRDefault="00B2538F">
      <w:pPr>
        <w:pStyle w:val="Normal1"/>
        <w:spacing w:after="0" w:line="240" w:lineRule="auto"/>
        <w:jc w:val="both"/>
        <w:rPr>
          <w:rFonts w:ascii="Arial" w:hAnsi="Arial" w:cs="Arial"/>
        </w:rPr>
      </w:pPr>
    </w:p>
    <w:p w:rsidR="00B2538F" w:rsidRPr="00AD7011" w:rsidRDefault="00B2538F">
      <w:pPr>
        <w:pStyle w:val="Normal1"/>
        <w:spacing w:after="0" w:line="240" w:lineRule="auto"/>
        <w:jc w:val="both"/>
        <w:rPr>
          <w:rFonts w:ascii="Arial" w:hAnsi="Arial" w:cs="Arial"/>
        </w:rPr>
      </w:pPr>
    </w:p>
    <w:p w:rsidR="00B2538F" w:rsidRPr="00AD7011" w:rsidRDefault="00DB24ED">
      <w:pPr>
        <w:pStyle w:val="Normal1"/>
        <w:spacing w:after="0" w:line="240" w:lineRule="auto"/>
        <w:jc w:val="both"/>
        <w:rPr>
          <w:rFonts w:ascii="Arial" w:hAnsi="Arial" w:cs="Arial"/>
        </w:rPr>
      </w:pPr>
      <w:r w:rsidRPr="00AD7011">
        <w:rPr>
          <w:rFonts w:ascii="Arial" w:eastAsia="Helvetica Neue" w:hAnsi="Arial" w:cs="Arial"/>
          <w:sz w:val="24"/>
          <w:szCs w:val="24"/>
        </w:rPr>
        <w:t xml:space="preserve">Candidates have the right to raise any issues related to the implementation of access arrangements. Please see our complaints procedure, a copy of which can be obtained from our office.  </w:t>
      </w:r>
    </w:p>
    <w:p w:rsidR="00B2538F" w:rsidRPr="00AD7011" w:rsidRDefault="00B2538F">
      <w:pPr>
        <w:pStyle w:val="Normal1"/>
        <w:rPr>
          <w:rFonts w:ascii="Arial" w:hAnsi="Arial" w:cs="Arial"/>
        </w:rPr>
      </w:pPr>
    </w:p>
    <w:sectPr w:rsidR="00B2538F" w:rsidRPr="00AD7011" w:rsidSect="00B253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5C" w:rsidRDefault="0017615C" w:rsidP="00B2538F">
      <w:pPr>
        <w:spacing w:after="0" w:line="240" w:lineRule="auto"/>
      </w:pPr>
      <w:r>
        <w:separator/>
      </w:r>
    </w:p>
  </w:endnote>
  <w:endnote w:type="continuationSeparator" w:id="0">
    <w:p w:rsidR="0017615C" w:rsidRDefault="0017615C" w:rsidP="00B2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5" w:rsidRDefault="00E23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5" w:rsidRDefault="00E23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5" w:rsidRDefault="00E23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5C" w:rsidRDefault="0017615C" w:rsidP="00B2538F">
      <w:pPr>
        <w:spacing w:after="0" w:line="240" w:lineRule="auto"/>
      </w:pPr>
      <w:r>
        <w:separator/>
      </w:r>
    </w:p>
  </w:footnote>
  <w:footnote w:type="continuationSeparator" w:id="0">
    <w:p w:rsidR="0017615C" w:rsidRDefault="0017615C" w:rsidP="00B2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5" w:rsidRDefault="00E23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C5" w:rsidRDefault="00E23655" w:rsidP="00E23655">
    <w:pPr>
      <w:pStyle w:val="Normal1"/>
      <w:tabs>
        <w:tab w:val="center" w:pos="4513"/>
        <w:tab w:val="right" w:pos="9026"/>
      </w:tabs>
      <w:spacing w:after="0" w:line="240" w:lineRule="auto"/>
      <w:ind w:firstLine="720"/>
      <w:jc w:val="center"/>
      <w:rPr>
        <w:rFonts w:ascii="Arial" w:hAnsi="Arial" w:cs="Arial"/>
        <w:i/>
        <w:color w:val="FF0000"/>
      </w:rPr>
    </w:pPr>
    <w:bookmarkStart w:id="0" w:name="_GoBack"/>
    <w:r>
      <w:rPr>
        <w:rFonts w:ascii="Arial" w:hAnsi="Arial" w:cs="Arial"/>
        <w:i/>
        <w:noProof/>
        <w:color w:val="FF0000"/>
      </w:rPr>
      <w:drawing>
        <wp:anchor distT="0" distB="0" distL="114300" distR="114300" simplePos="0" relativeHeight="251658752" behindDoc="0" locked="0" layoutInCell="1" allowOverlap="1">
          <wp:simplePos x="0" y="0"/>
          <wp:positionH relativeFrom="margin">
            <wp:posOffset>-716280</wp:posOffset>
          </wp:positionH>
          <wp:positionV relativeFrom="topMargin">
            <wp:posOffset>465455</wp:posOffset>
          </wp:positionV>
          <wp:extent cx="1981200" cy="575310"/>
          <wp:effectExtent l="0" t="0" r="0" b="0"/>
          <wp:wrapSquare wrapText="bothSides"/>
          <wp:docPr id="6" name="Picture 1" desc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753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872" behindDoc="0" locked="0" layoutInCell="1" allowOverlap="1">
          <wp:simplePos x="0" y="0"/>
          <wp:positionH relativeFrom="margin">
            <wp:posOffset>5081905</wp:posOffset>
          </wp:positionH>
          <wp:positionV relativeFrom="margin">
            <wp:posOffset>-977900</wp:posOffset>
          </wp:positionV>
          <wp:extent cx="1331595" cy="646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Learning-partnership-lockup_SMALL.jpg"/>
                  <pic:cNvPicPr/>
                </pic:nvPicPr>
                <pic:blipFill>
                  <a:blip r:embed="rId2">
                    <a:extLst>
                      <a:ext uri="{28A0092B-C50C-407E-A947-70E740481C1C}">
                        <a14:useLocalDpi xmlns:a14="http://schemas.microsoft.com/office/drawing/2010/main" val="0"/>
                      </a:ext>
                    </a:extLst>
                  </a:blip>
                  <a:stretch>
                    <a:fillRect/>
                  </a:stretch>
                </pic:blipFill>
                <pic:spPr>
                  <a:xfrm>
                    <a:off x="0" y="0"/>
                    <a:ext cx="1331595" cy="646430"/>
                  </a:xfrm>
                  <a:prstGeom prst="rect">
                    <a:avLst/>
                  </a:prstGeom>
                </pic:spPr>
              </pic:pic>
            </a:graphicData>
          </a:graphic>
        </wp:anchor>
      </w:drawing>
    </w:r>
    <w:r w:rsidR="002D1495" w:rsidRPr="006B4172">
      <w:rPr>
        <w:rFonts w:ascii="Arial" w:hAnsi="Arial" w:cs="Arial"/>
        <w:i/>
        <w:color w:val="FF0000"/>
      </w:rPr>
      <w:t>Fire and Air - Education, wellbeing and heritage</w:t>
    </w:r>
  </w:p>
  <w:p w:rsidR="002D1495" w:rsidRPr="006B4172" w:rsidRDefault="00E23655" w:rsidP="00E23655">
    <w:pPr>
      <w:pStyle w:val="Normal1"/>
      <w:tabs>
        <w:tab w:val="center" w:pos="4513"/>
        <w:tab w:val="right" w:pos="9026"/>
      </w:tabs>
      <w:spacing w:after="0" w:line="240" w:lineRule="auto"/>
      <w:jc w:val="center"/>
      <w:rPr>
        <w:rFonts w:ascii="Arial" w:hAnsi="Arial" w:cs="Arial"/>
      </w:rPr>
    </w:pPr>
    <w:r>
      <w:rPr>
        <w:rFonts w:ascii="Arial" w:hAnsi="Arial" w:cs="Arial"/>
        <w:i/>
        <w:color w:val="FF0000"/>
      </w:rPr>
      <w:t xml:space="preserve">Adventure </w:t>
    </w:r>
    <w:r w:rsidR="002D1495" w:rsidRPr="006B4172">
      <w:rPr>
        <w:rFonts w:ascii="Arial" w:hAnsi="Arial" w:cs="Arial"/>
        <w:i/>
        <w:color w:val="FF0000"/>
      </w:rPr>
      <w:t xml:space="preserve">in the </w:t>
    </w:r>
    <w:r w:rsidR="002D1495">
      <w:rPr>
        <w:rFonts w:ascii="Arial" w:hAnsi="Arial" w:cs="Arial"/>
        <w:i/>
        <w:color w:val="FF0000"/>
      </w:rPr>
      <w:t>woods</w:t>
    </w:r>
    <w:r w:rsidR="002D1495" w:rsidRPr="006B4172">
      <w:rPr>
        <w:rFonts w:ascii="Arial" w:hAnsi="Arial" w:cs="Arial"/>
        <w:i/>
        <w:color w:val="FF0000"/>
      </w:rPr>
      <w:t>.</w:t>
    </w:r>
  </w:p>
  <w:p w:rsidR="002D1495" w:rsidRPr="006B4172" w:rsidRDefault="00E23655" w:rsidP="00E23655">
    <w:pPr>
      <w:pStyle w:val="Normal1"/>
      <w:tabs>
        <w:tab w:val="center" w:pos="4513"/>
        <w:tab w:val="right" w:pos="9026"/>
      </w:tabs>
      <w:spacing w:after="0" w:line="240" w:lineRule="auto"/>
      <w:jc w:val="center"/>
      <w:rPr>
        <w:rFonts w:ascii="Arial" w:hAnsi="Arial" w:cs="Arial"/>
      </w:rPr>
    </w:pPr>
    <w:hyperlink r:id="rId3" w:history="1">
      <w:r w:rsidRPr="00251631">
        <w:rPr>
          <w:rStyle w:val="Hyperlink"/>
          <w:rFonts w:ascii="Arial" w:hAnsi="Arial" w:cs="Arial"/>
        </w:rPr>
        <w:t>joanna@fireandair.org</w:t>
      </w:r>
    </w:hyperlink>
  </w:p>
  <w:p w:rsidR="002D1495" w:rsidRDefault="0017615C" w:rsidP="00E23655">
    <w:pPr>
      <w:pStyle w:val="Normal1"/>
      <w:tabs>
        <w:tab w:val="center" w:pos="4513"/>
        <w:tab w:val="right" w:pos="9026"/>
      </w:tabs>
      <w:spacing w:after="0" w:line="240" w:lineRule="auto"/>
      <w:jc w:val="center"/>
    </w:pPr>
    <w:hyperlink r:id="rId4" w:history="1">
      <w:r w:rsidR="002D1495" w:rsidRPr="006B4172">
        <w:rPr>
          <w:rStyle w:val="Hyperlink"/>
          <w:rFonts w:ascii="Arial" w:hAnsi="Arial" w:cs="Arial"/>
          <w:i/>
        </w:rPr>
        <w:t>www.fireandair.org</w:t>
      </w:r>
    </w:hyperlink>
    <w:bookmarkEnd w:id="0"/>
  </w:p>
  <w:p w:rsidR="002D1495" w:rsidRPr="00AE2714" w:rsidRDefault="002D1495" w:rsidP="00E47CC5">
    <w:pPr>
      <w:pStyle w:val="Header"/>
      <w:jc w:val="center"/>
    </w:pPr>
  </w:p>
  <w:p w:rsidR="00B2538F" w:rsidRPr="002D1495" w:rsidRDefault="00B2538F" w:rsidP="002D1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5" w:rsidRDefault="00E2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F24"/>
    <w:multiLevelType w:val="multilevel"/>
    <w:tmpl w:val="B2A4ED36"/>
    <w:lvl w:ilvl="0">
      <w:start w:val="1"/>
      <w:numFmt w:val="bullet"/>
      <w:lvlText w:val="▪"/>
      <w:lvlJc w:val="left"/>
      <w:pPr>
        <w:ind w:left="39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745E0923"/>
    <w:multiLevelType w:val="multilevel"/>
    <w:tmpl w:val="536265E2"/>
    <w:lvl w:ilvl="0">
      <w:start w:val="1"/>
      <w:numFmt w:val="bullet"/>
      <w:lvlText w:val="▪"/>
      <w:lvlJc w:val="left"/>
      <w:pPr>
        <w:ind w:left="39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8F"/>
    <w:rsid w:val="000A4C81"/>
    <w:rsid w:val="0017615C"/>
    <w:rsid w:val="002D1495"/>
    <w:rsid w:val="00523EA6"/>
    <w:rsid w:val="00AD7011"/>
    <w:rsid w:val="00B2538F"/>
    <w:rsid w:val="00CF4340"/>
    <w:rsid w:val="00DB24ED"/>
    <w:rsid w:val="00DD7A25"/>
    <w:rsid w:val="00E23655"/>
    <w:rsid w:val="00E4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6333"/>
  <w15:docId w15:val="{3562E499-44B3-4561-A8D3-345864F7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A25"/>
  </w:style>
  <w:style w:type="paragraph" w:styleId="Heading1">
    <w:name w:val="heading 1"/>
    <w:basedOn w:val="Normal1"/>
    <w:next w:val="Normal1"/>
    <w:rsid w:val="00B2538F"/>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rsid w:val="00B2538F"/>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B2538F"/>
    <w:pPr>
      <w:keepNext/>
      <w:keepLines/>
      <w:spacing w:before="280" w:after="80"/>
      <w:contextualSpacing/>
      <w:outlineLvl w:val="2"/>
    </w:pPr>
    <w:rPr>
      <w:b/>
      <w:sz w:val="28"/>
      <w:szCs w:val="28"/>
    </w:rPr>
  </w:style>
  <w:style w:type="paragraph" w:styleId="Heading4">
    <w:name w:val="heading 4"/>
    <w:basedOn w:val="Normal1"/>
    <w:next w:val="Normal1"/>
    <w:rsid w:val="00B2538F"/>
    <w:pPr>
      <w:keepNext/>
      <w:keepLines/>
      <w:spacing w:before="240" w:after="40"/>
      <w:contextualSpacing/>
      <w:outlineLvl w:val="3"/>
    </w:pPr>
    <w:rPr>
      <w:b/>
      <w:sz w:val="24"/>
      <w:szCs w:val="24"/>
    </w:rPr>
  </w:style>
  <w:style w:type="paragraph" w:styleId="Heading5">
    <w:name w:val="heading 5"/>
    <w:basedOn w:val="Normal1"/>
    <w:next w:val="Normal1"/>
    <w:rsid w:val="00B2538F"/>
    <w:pPr>
      <w:keepNext/>
      <w:keepLines/>
      <w:spacing w:before="220" w:after="40"/>
      <w:contextualSpacing/>
      <w:outlineLvl w:val="4"/>
    </w:pPr>
    <w:rPr>
      <w:b/>
    </w:rPr>
  </w:style>
  <w:style w:type="paragraph" w:styleId="Heading6">
    <w:name w:val="heading 6"/>
    <w:basedOn w:val="Normal1"/>
    <w:next w:val="Normal1"/>
    <w:rsid w:val="00B2538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538F"/>
  </w:style>
  <w:style w:type="paragraph" w:styleId="Title">
    <w:name w:val="Title"/>
    <w:basedOn w:val="Normal1"/>
    <w:next w:val="Normal1"/>
    <w:rsid w:val="00B2538F"/>
    <w:pPr>
      <w:keepNext/>
      <w:keepLines/>
      <w:spacing w:before="480" w:after="120"/>
      <w:contextualSpacing/>
    </w:pPr>
    <w:rPr>
      <w:b/>
      <w:sz w:val="72"/>
      <w:szCs w:val="72"/>
    </w:rPr>
  </w:style>
  <w:style w:type="paragraph" w:styleId="Subtitle">
    <w:name w:val="Subtitle"/>
    <w:basedOn w:val="Normal1"/>
    <w:next w:val="Normal1"/>
    <w:rsid w:val="00B2538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2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A6"/>
  </w:style>
  <w:style w:type="paragraph" w:styleId="Footer">
    <w:name w:val="footer"/>
    <w:basedOn w:val="Normal"/>
    <w:link w:val="FooterChar"/>
    <w:uiPriority w:val="99"/>
    <w:unhideWhenUsed/>
    <w:rsid w:val="0052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A6"/>
  </w:style>
  <w:style w:type="paragraph" w:styleId="BalloonText">
    <w:name w:val="Balloon Text"/>
    <w:basedOn w:val="Normal"/>
    <w:link w:val="BalloonTextChar"/>
    <w:uiPriority w:val="99"/>
    <w:semiHidden/>
    <w:unhideWhenUsed/>
    <w:rsid w:val="0052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A6"/>
    <w:rPr>
      <w:rFonts w:ascii="Tahoma" w:hAnsi="Tahoma" w:cs="Tahoma"/>
      <w:sz w:val="16"/>
      <w:szCs w:val="16"/>
    </w:rPr>
  </w:style>
  <w:style w:type="character" w:styleId="Hyperlink">
    <w:name w:val="Hyperlink"/>
    <w:basedOn w:val="DefaultParagraphFont"/>
    <w:rsid w:val="002D1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joanna@fireandair.org"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http://www.firean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Shelton</dc:creator>
  <cp:lastModifiedBy>Joanna Shelton</cp:lastModifiedBy>
  <cp:revision>4</cp:revision>
  <dcterms:created xsi:type="dcterms:W3CDTF">2016-10-28T09:29:00Z</dcterms:created>
  <dcterms:modified xsi:type="dcterms:W3CDTF">2016-10-28T13:01:00Z</dcterms:modified>
</cp:coreProperties>
</file>